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24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«Городские тепловые сети» (ИНН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(тепловая энергия)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Fonts w:ascii="Times New Roman" w:eastAsia="Times New Roman" w:hAnsi="Times New Roman" w:cs="Times New Roman"/>
        </w:rPr>
        <w:t>Энтузиастов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2, с 01.08.2022 по 31.03.2023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31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2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 xml:space="preserve"> с последующим начислением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 сумму основного долга </w:t>
      </w:r>
      <w:r>
        <w:rPr>
          <w:rStyle w:val="cat-UserDefinedgrp-33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по день фактической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оплаты долга с учетом </w:t>
      </w:r>
      <w:r>
        <w:rPr>
          <w:rStyle w:val="cat-UserDefinedgrp-34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ставки рефинансирования Центрального банка РФ, действующей на день фактической оплаты, за каждый день неисполнения денежного обязательства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5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6rplc-42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</w:t>
      </w:r>
      <w:r>
        <w:rPr>
          <w:rStyle w:val="cat-UserDefinedgrp-37rplc-45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